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68" w:rsidRDefault="00501A68" w:rsidP="00501A68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781050" cy="8191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A68" w:rsidRPr="008017BE" w:rsidRDefault="00501A68" w:rsidP="00501A68">
      <w:pPr>
        <w:pStyle w:val="Intestazione"/>
        <w:jc w:val="center"/>
        <w:rPr>
          <w:rFonts w:ascii="English111 Adagio BT" w:hAnsi="English111 Adagio BT"/>
          <w:i/>
          <w:sz w:val="52"/>
          <w:szCs w:val="52"/>
        </w:rPr>
      </w:pPr>
      <w:r>
        <w:rPr>
          <w:rFonts w:ascii="English111 Adagio BT" w:hAnsi="English111 Adagio BT"/>
          <w:i/>
          <w:sz w:val="52"/>
          <w:szCs w:val="52"/>
        </w:rPr>
        <w:t>Il M</w:t>
      </w:r>
      <w:r w:rsidRPr="008017BE">
        <w:rPr>
          <w:rFonts w:ascii="English111 Adagio BT" w:hAnsi="English111 Adagio BT"/>
          <w:i/>
          <w:sz w:val="52"/>
          <w:szCs w:val="52"/>
        </w:rPr>
        <w:t>inistro dell’Istruzione,</w:t>
      </w:r>
      <w:r>
        <w:rPr>
          <w:rFonts w:ascii="English111 Adagio BT" w:hAnsi="English111 Adagio BT"/>
          <w:i/>
          <w:sz w:val="52"/>
          <w:szCs w:val="52"/>
        </w:rPr>
        <w:t xml:space="preserve"> </w:t>
      </w:r>
      <w:r w:rsidRPr="008017BE">
        <w:rPr>
          <w:rFonts w:ascii="English111 Adagio BT" w:hAnsi="English111 Adagio BT"/>
          <w:i/>
          <w:sz w:val="52"/>
          <w:szCs w:val="52"/>
        </w:rPr>
        <w:t>dell’Università e della</w:t>
      </w:r>
      <w:r>
        <w:rPr>
          <w:rFonts w:ascii="English111 Adagio BT" w:hAnsi="English111 Adagio BT"/>
          <w:i/>
          <w:sz w:val="52"/>
          <w:szCs w:val="52"/>
        </w:rPr>
        <w:t xml:space="preserve"> </w:t>
      </w:r>
      <w:r w:rsidRPr="008017BE">
        <w:rPr>
          <w:rFonts w:ascii="English111 Adagio BT" w:hAnsi="English111 Adagio BT"/>
          <w:i/>
          <w:sz w:val="52"/>
          <w:szCs w:val="52"/>
        </w:rPr>
        <w:t>Ricerca</w:t>
      </w:r>
    </w:p>
    <w:p w:rsidR="00501A68" w:rsidRDefault="00501A68" w:rsidP="00501A68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501A68" w:rsidRDefault="00501A68" w:rsidP="00501A68">
      <w:pPr>
        <w:autoSpaceDE w:val="0"/>
        <w:autoSpaceDN w:val="0"/>
        <w:adjustRightInd w:val="0"/>
        <w:outlineLvl w:val="0"/>
        <w:rPr>
          <w:sz w:val="27"/>
          <w:szCs w:val="27"/>
        </w:rPr>
      </w:pPr>
      <w:r>
        <w:rPr>
          <w:sz w:val="27"/>
          <w:szCs w:val="27"/>
        </w:rPr>
        <w:t>D. M. n.   22   del 12 marzo  2012</w:t>
      </w:r>
    </w:p>
    <w:p w:rsidR="00501A68" w:rsidRDefault="00501A68" w:rsidP="00501A68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rPr>
          <w:sz w:val="27"/>
          <w:szCs w:val="27"/>
        </w:rPr>
      </w:pPr>
    </w:p>
    <w:p w:rsidR="00501A68" w:rsidRPr="008017BE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8017BE">
        <w:rPr>
          <w:b/>
        </w:rPr>
        <w:t>Visto i</w:t>
      </w:r>
      <w:r w:rsidRPr="008017BE">
        <w:t>l D.P.R. 28 aprile 1998 n. 351, con il quale è stato emanato il regolamento recante</w:t>
      </w:r>
      <w:r>
        <w:t xml:space="preserve"> </w:t>
      </w:r>
      <w:r w:rsidRPr="008017BE">
        <w:t>norme per la semplificazione dei procedimenti in materia di cessazioni dal servizio e di trattamento di quiescenza del</w:t>
      </w:r>
      <w:r w:rsidRPr="00223E3D">
        <w:t xml:space="preserve"> </w:t>
      </w:r>
      <w:r w:rsidRPr="008017BE">
        <w:t>personale della scuola, a norma dell’art. 20, comma 8, della legge 15 marzo 1997, n. 59;</w:t>
      </w:r>
    </w:p>
    <w:p w:rsidR="00501A68" w:rsidRPr="008017BE" w:rsidRDefault="00501A68" w:rsidP="00501A68">
      <w:pPr>
        <w:autoSpaceDE w:val="0"/>
        <w:autoSpaceDN w:val="0"/>
        <w:adjustRightInd w:val="0"/>
        <w:ind w:left="720" w:hanging="720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8017BE">
        <w:rPr>
          <w:b/>
        </w:rPr>
        <w:t>Visto</w:t>
      </w:r>
      <w:r w:rsidRPr="008017BE">
        <w:t xml:space="preserve"> in particolare l’art. 1, comma 2, del citato regolamento il quale prevede che il</w:t>
      </w:r>
      <w:r>
        <w:t xml:space="preserve"> </w:t>
      </w:r>
      <w:r w:rsidRPr="008017BE">
        <w:t xml:space="preserve">Ministero della Istruzione stabilisce, con proprio decreto, il termine entro il quale il personale del comparto scuola con rapporto di lavoro a tempo indeterminato può presentare o ritirare la domanda di collocamento a riposo per compimento del </w:t>
      </w:r>
      <w:r>
        <w:t>limite massimo di servizio</w:t>
      </w:r>
      <w:r w:rsidRPr="008017BE">
        <w:t xml:space="preserve"> o di dimissioni volontarie dal servizio;</w:t>
      </w:r>
    </w:p>
    <w:p w:rsidR="00501A68" w:rsidRPr="008017BE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Pr="00223E3D" w:rsidRDefault="00501A68" w:rsidP="00501A68">
      <w:pPr>
        <w:autoSpaceDE w:val="0"/>
        <w:autoSpaceDN w:val="0"/>
        <w:adjustRightInd w:val="0"/>
        <w:ind w:left="720" w:hanging="720"/>
        <w:jc w:val="both"/>
      </w:pPr>
      <w:r>
        <w:rPr>
          <w:sz w:val="27"/>
          <w:szCs w:val="27"/>
        </w:rPr>
        <w:t xml:space="preserve">Visto </w:t>
      </w:r>
      <w:r w:rsidRPr="00116F75">
        <w:rPr>
          <w:sz w:val="27"/>
          <w:szCs w:val="27"/>
        </w:rPr>
        <w:t>il</w:t>
      </w:r>
      <w:r w:rsidRPr="00223E3D">
        <w:rPr>
          <w:sz w:val="27"/>
          <w:szCs w:val="27"/>
        </w:rPr>
        <w:t xml:space="preserve"> </w:t>
      </w:r>
      <w:proofErr w:type="spellStart"/>
      <w:r w:rsidRPr="00223E3D">
        <w:t>D.lvo</w:t>
      </w:r>
      <w:proofErr w:type="spellEnd"/>
      <w:r w:rsidRPr="00223E3D">
        <w:t xml:space="preserve"> n.297 del 16 aprile 1994 art. 509 cc 2, 3 e 5</w:t>
      </w:r>
      <w:r>
        <w:t>;</w:t>
      </w:r>
    </w:p>
    <w:p w:rsidR="00501A68" w:rsidRPr="008017BE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>
        <w:rPr>
          <w:b/>
        </w:rPr>
        <w:t xml:space="preserve">Vista </w:t>
      </w:r>
      <w:smartTag w:uri="urn:schemas-microsoft-com:office:smarttags" w:element="PersonName">
        <w:smartTagPr>
          <w:attr w:name="ProductID" w:val="la Legge"/>
        </w:smartTagPr>
        <w:r w:rsidRPr="00116F75">
          <w:t>l</w:t>
        </w:r>
        <w:r>
          <w:t>a Legge</w:t>
        </w:r>
      </w:smartTag>
      <w:r>
        <w:t xml:space="preserve"> n. 133 del 6 agosto 2008 art. 72, c. 7 e c.11  come sostituito dall’art. 17, comma 35 </w:t>
      </w:r>
      <w:proofErr w:type="spellStart"/>
      <w:r>
        <w:t>novies</w:t>
      </w:r>
      <w:proofErr w:type="spellEnd"/>
      <w:r>
        <w:t>, del decreto legge 1° luglio 2009, n. 78, convertito, con modificazioni, dalla legge 3 agosto 2009, n.102;</w:t>
      </w: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A27426">
        <w:rPr>
          <w:b/>
        </w:rPr>
        <w:t>Visto</w:t>
      </w:r>
      <w:r>
        <w:rPr>
          <w:b/>
        </w:rPr>
        <w:t xml:space="preserve"> </w:t>
      </w:r>
      <w:r w:rsidRPr="00A27426">
        <w:t xml:space="preserve"> l’art. 9, comma 31 del D.L. n. 78/2010, convertito in legge 30 luglio 2010, n. 122, che stabilisce che i trattenimenti in servizio</w:t>
      </w:r>
      <w:r>
        <w:t xml:space="preserve"> previsti dal sopra citato art.72 c. 7 </w:t>
      </w:r>
      <w:r w:rsidRPr="00A27426">
        <w:t xml:space="preserve"> possono essere disposti esclusivamente nell’ambito delle facoltà </w:t>
      </w:r>
      <w:proofErr w:type="spellStart"/>
      <w:r w:rsidRPr="00A27426">
        <w:t>assunzionali</w:t>
      </w:r>
      <w:proofErr w:type="spellEnd"/>
      <w:r w:rsidRPr="00A27426">
        <w:t xml:space="preserve"> consentite dalla legislazione vigente in base alle ce</w:t>
      </w:r>
      <w:r>
        <w:t>s</w:t>
      </w:r>
      <w:r w:rsidRPr="00A27426">
        <w:t xml:space="preserve">sazioni del personale e con il rispetto delle relative procedure </w:t>
      </w:r>
      <w:proofErr w:type="spellStart"/>
      <w:r w:rsidRPr="00A27426">
        <w:t>autorizzatorie</w:t>
      </w:r>
      <w:proofErr w:type="spellEnd"/>
      <w:r w:rsidRPr="00A27426">
        <w:t>;</w:t>
      </w:r>
    </w:p>
    <w:p w:rsidR="00501A68" w:rsidRPr="00C728EF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>
        <w:rPr>
          <w:b/>
        </w:rPr>
        <w:t xml:space="preserve">Visto  </w:t>
      </w:r>
      <w:r w:rsidRPr="009D074D">
        <w:t>il D</w:t>
      </w:r>
      <w:r>
        <w:t>.</w:t>
      </w:r>
      <w:r w:rsidRPr="009D074D">
        <w:t>L</w:t>
      </w:r>
      <w:r>
        <w:t>.</w:t>
      </w:r>
      <w:r w:rsidRPr="009D074D">
        <w:t xml:space="preserve"> 6 luglio 2011 , n. 98 convertito con Legge n. 111 del 15 luglio 2011</w:t>
      </w:r>
      <w:r>
        <w:t>;</w:t>
      </w: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116F75">
        <w:rPr>
          <w:b/>
        </w:rPr>
        <w:t>Visto</w:t>
      </w:r>
      <w:r>
        <w:t xml:space="preserve">  il D.L. n. 138 del 16/8/2011, convertito con Legge n. 148 del 14/9/2011 ed in particolare l’art. 1, comma 16 che ha prorogato per un ulteriore triennio, 2011-2014, le disposizioni dell’art. 72, comma 11 della L.133/2008; </w:t>
      </w: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C728EF">
        <w:rPr>
          <w:b/>
        </w:rPr>
        <w:t>Visto</w:t>
      </w:r>
      <w:r>
        <w:rPr>
          <w:b/>
        </w:rPr>
        <w:t xml:space="preserve">  </w:t>
      </w:r>
      <w:r w:rsidRPr="00C728EF">
        <w:t xml:space="preserve">il </w:t>
      </w:r>
      <w:proofErr w:type="spellStart"/>
      <w:r w:rsidRPr="00C728EF">
        <w:t>DL</w:t>
      </w:r>
      <w:proofErr w:type="spellEnd"/>
      <w:r w:rsidRPr="00C728EF">
        <w:t xml:space="preserve">. </w:t>
      </w:r>
      <w:r>
        <w:t>n</w:t>
      </w:r>
      <w:r w:rsidRPr="00C728EF">
        <w:t xml:space="preserve">. 201 del 6 dicembre 2011 convertito con L. n. 214 del 22 dicembre </w:t>
      </w:r>
      <w:smartTag w:uri="urn:schemas-microsoft-com:office:smarttags" w:element="metricconverter">
        <w:smartTagPr>
          <w:attr w:name="ProductID" w:val="2011, in"/>
        </w:smartTagPr>
        <w:r w:rsidRPr="00C728EF">
          <w:t>2011, in</w:t>
        </w:r>
      </w:smartTag>
      <w:r w:rsidRPr="00C728EF">
        <w:t xml:space="preserve"> particolare l’art. 24</w:t>
      </w:r>
      <w:r>
        <w:t>, che ha modificato i requisiti di accesso al trattamento pensionistico</w:t>
      </w:r>
    </w:p>
    <w:p w:rsidR="00501A68" w:rsidRPr="00A27426" w:rsidRDefault="00501A68" w:rsidP="00501A68">
      <w:pPr>
        <w:autoSpaceDE w:val="0"/>
        <w:autoSpaceDN w:val="0"/>
        <w:adjustRightInd w:val="0"/>
        <w:ind w:left="720" w:hanging="720"/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  <w:r>
        <w:rPr>
          <w:b/>
        </w:rPr>
        <w:t>Viste</w:t>
      </w:r>
      <w:r>
        <w:t xml:space="preserve"> le circolari n. 10 del 20 ottobre 2008, n. 4 del 16 settembre </w:t>
      </w:r>
      <w:r w:rsidRPr="00A27426">
        <w:t>2009 e n 46078 del 18 ottobre 2010</w:t>
      </w:r>
      <w:r>
        <w:t xml:space="preserve"> della Presidenza del Consiglio dei Ministri, Dipartimento della Funzione Pubblica con cui sono stati si indicati  i criteri per l’applicazione dell’art.72 cc. 7 e 11;</w:t>
      </w: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</w:pPr>
    </w:p>
    <w:p w:rsidR="00501A68" w:rsidRPr="00BD768D" w:rsidRDefault="00501A68" w:rsidP="00501A68">
      <w:pPr>
        <w:autoSpaceDE w:val="0"/>
        <w:autoSpaceDN w:val="0"/>
        <w:adjustRightInd w:val="0"/>
        <w:ind w:left="720" w:hanging="720"/>
        <w:jc w:val="both"/>
      </w:pPr>
      <w:r>
        <w:rPr>
          <w:b/>
        </w:rPr>
        <w:t xml:space="preserve">Vista </w:t>
      </w:r>
      <w:smartTag w:uri="urn:schemas-microsoft-com:office:smarttags" w:element="PersonName">
        <w:smartTagPr>
          <w:attr w:name="ProductID" w:val="la Direttiva"/>
        </w:smartTagPr>
        <w:r w:rsidRPr="00BD768D">
          <w:t>la Direttiva</w:t>
        </w:r>
      </w:smartTag>
      <w:r w:rsidRPr="00BD768D">
        <w:t xml:space="preserve"> n.94 del 4 dicembre 2009 </w:t>
      </w:r>
      <w:r>
        <w:t>con cui questa Direzione ha individuato i criteri per l’applicazione del</w:t>
      </w:r>
      <w:r w:rsidRPr="00FA0C0F">
        <w:t xml:space="preserve"> </w:t>
      </w:r>
      <w:r>
        <w:t>sopra citato art. 72 cc 7 e 11 al personale della scuola;</w:t>
      </w:r>
    </w:p>
    <w:p w:rsidR="00501A68" w:rsidRPr="00BD768D" w:rsidRDefault="00501A68" w:rsidP="00501A68">
      <w:pPr>
        <w:autoSpaceDE w:val="0"/>
        <w:autoSpaceDN w:val="0"/>
        <w:adjustRightInd w:val="0"/>
        <w:ind w:left="720" w:hanging="720"/>
      </w:pPr>
    </w:p>
    <w:p w:rsidR="00501A68" w:rsidRPr="008017BE" w:rsidRDefault="00501A68" w:rsidP="00501A68">
      <w:pPr>
        <w:autoSpaceDE w:val="0"/>
        <w:autoSpaceDN w:val="0"/>
        <w:adjustRightInd w:val="0"/>
        <w:ind w:left="720" w:hanging="720"/>
        <w:jc w:val="both"/>
      </w:pPr>
      <w:r w:rsidRPr="008017BE">
        <w:rPr>
          <w:b/>
        </w:rPr>
        <w:lastRenderedPageBreak/>
        <w:t>Considerato</w:t>
      </w:r>
      <w:r w:rsidRPr="008017BE">
        <w:t xml:space="preserve"> che, ai sensi del comma 5 del</w:t>
      </w:r>
      <w:r>
        <w:t>l’</w:t>
      </w:r>
      <w:r w:rsidRPr="008017BE">
        <w:t xml:space="preserve"> art. 1 del Regolamento, deve essere fissata la data  per la comunicazione al personale dimissionario della mancata maturazione del diritto al trattamento di pensione;</w:t>
      </w: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  <w:rPr>
          <w:sz w:val="27"/>
          <w:szCs w:val="27"/>
        </w:rPr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jc w:val="both"/>
        <w:rPr>
          <w:sz w:val="27"/>
          <w:szCs w:val="27"/>
        </w:rPr>
      </w:pPr>
      <w:r w:rsidRPr="00E608FF">
        <w:rPr>
          <w:b/>
        </w:rPr>
        <w:t xml:space="preserve">Visto </w:t>
      </w:r>
      <w:r w:rsidRPr="008017BE">
        <w:t xml:space="preserve">il C.C.N.L. </w:t>
      </w:r>
      <w:r w:rsidRPr="00A27426">
        <w:t>sottoscritto il 15 luglio 2010</w:t>
      </w:r>
      <w:r w:rsidRPr="00A76B45">
        <w:rPr>
          <w:b/>
          <w:i/>
        </w:rPr>
        <w:t>,</w:t>
      </w:r>
      <w:r w:rsidRPr="008017BE">
        <w:t xml:space="preserve"> </w:t>
      </w:r>
      <w:r>
        <w:t>ed in particolare l’articolo 12 che</w:t>
      </w:r>
      <w:r w:rsidRPr="008017BE">
        <w:t xml:space="preserve">, per il personale dell’area V della dirigenza scolastica, </w:t>
      </w:r>
      <w:r>
        <w:t>fissa al 28 febbraio la data per la presentazione delle domande di cessazione dal servizio;</w:t>
      </w:r>
    </w:p>
    <w:p w:rsidR="00501A68" w:rsidRDefault="00501A68" w:rsidP="00501A68">
      <w:pPr>
        <w:autoSpaceDE w:val="0"/>
        <w:autoSpaceDN w:val="0"/>
        <w:adjustRightInd w:val="0"/>
        <w:rPr>
          <w:sz w:val="27"/>
          <w:szCs w:val="27"/>
        </w:rPr>
      </w:pPr>
    </w:p>
    <w:p w:rsidR="00501A68" w:rsidRDefault="00501A68" w:rsidP="00501A68">
      <w:pPr>
        <w:autoSpaceDE w:val="0"/>
        <w:autoSpaceDN w:val="0"/>
        <w:adjustRightInd w:val="0"/>
        <w:ind w:left="720" w:hanging="720"/>
        <w:rPr>
          <w:sz w:val="27"/>
          <w:szCs w:val="27"/>
        </w:rPr>
      </w:pPr>
      <w:r>
        <w:rPr>
          <w:sz w:val="27"/>
          <w:szCs w:val="27"/>
        </w:rPr>
        <w:t xml:space="preserve">Vista </w:t>
      </w:r>
      <w:smartTag w:uri="urn:schemas-microsoft-com:office:smarttags" w:element="PersonName">
        <w:smartTagPr>
          <w:attr w:name="ProductID" w:val="la Circolare"/>
        </w:smartTagPr>
        <w:r w:rsidRPr="00702439">
          <w:t>la Circolare</w:t>
        </w:r>
      </w:smartTag>
      <w:r w:rsidRPr="00702439">
        <w:t xml:space="preserve"> n</w:t>
      </w:r>
      <w:r>
        <w:t xml:space="preserve">   2  </w:t>
      </w:r>
      <w:r w:rsidRPr="00702439">
        <w:t>de</w:t>
      </w:r>
      <w:r>
        <w:t xml:space="preserve">l 8/3/2012 del  Dipartimento della Funzione Pubblica, relativa all’applicazione dell’art. 24 della Legge n. 214 del 22 dicembre 2011. </w:t>
      </w:r>
    </w:p>
    <w:p w:rsidR="00501A68" w:rsidRPr="009C2E5A" w:rsidRDefault="00501A68" w:rsidP="00501A68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501A68" w:rsidRPr="005C4AAA" w:rsidRDefault="00501A68" w:rsidP="00501A68">
      <w:pPr>
        <w:autoSpaceDE w:val="0"/>
        <w:autoSpaceDN w:val="0"/>
        <w:adjustRightInd w:val="0"/>
        <w:jc w:val="center"/>
        <w:outlineLvl w:val="0"/>
        <w:rPr>
          <w:sz w:val="27"/>
          <w:szCs w:val="27"/>
          <w:lang w:val="pt-BR"/>
        </w:rPr>
      </w:pPr>
      <w:r w:rsidRPr="005C4AAA">
        <w:rPr>
          <w:sz w:val="27"/>
          <w:szCs w:val="27"/>
          <w:lang w:val="pt-BR"/>
        </w:rPr>
        <w:t>D E C R E T A</w:t>
      </w:r>
    </w:p>
    <w:p w:rsidR="00501A68" w:rsidRPr="005C4AAA" w:rsidRDefault="00501A68" w:rsidP="00501A68">
      <w:pPr>
        <w:autoSpaceDE w:val="0"/>
        <w:autoSpaceDN w:val="0"/>
        <w:adjustRightInd w:val="0"/>
        <w:outlineLvl w:val="0"/>
        <w:rPr>
          <w:sz w:val="27"/>
          <w:szCs w:val="27"/>
          <w:lang w:val="pt-BR"/>
        </w:rPr>
      </w:pPr>
    </w:p>
    <w:p w:rsidR="00501A68" w:rsidRPr="005C4AAA" w:rsidRDefault="00501A68" w:rsidP="00501A68">
      <w:pPr>
        <w:autoSpaceDE w:val="0"/>
        <w:autoSpaceDN w:val="0"/>
        <w:adjustRightInd w:val="0"/>
        <w:jc w:val="center"/>
        <w:outlineLvl w:val="0"/>
        <w:rPr>
          <w:lang w:val="pt-BR"/>
        </w:rPr>
      </w:pPr>
      <w:r w:rsidRPr="005C4AAA">
        <w:rPr>
          <w:lang w:val="pt-BR"/>
        </w:rPr>
        <w:t>Art.1</w:t>
      </w:r>
    </w:p>
    <w:p w:rsidR="00501A68" w:rsidRPr="005C4AAA" w:rsidRDefault="00501A68" w:rsidP="00501A68">
      <w:pPr>
        <w:autoSpaceDE w:val="0"/>
        <w:autoSpaceDN w:val="0"/>
        <w:adjustRightInd w:val="0"/>
        <w:jc w:val="both"/>
        <w:rPr>
          <w:lang w:val="pt-BR"/>
        </w:rPr>
      </w:pPr>
    </w:p>
    <w:p w:rsidR="00501A68" w:rsidRDefault="00501A68" w:rsidP="00501A68">
      <w:pPr>
        <w:autoSpaceDE w:val="0"/>
        <w:autoSpaceDN w:val="0"/>
        <w:adjustRightInd w:val="0"/>
        <w:jc w:val="both"/>
      </w:pPr>
      <w:r w:rsidRPr="008017BE">
        <w:t xml:space="preserve">1 . Il termine </w:t>
      </w:r>
      <w:r>
        <w:t xml:space="preserve">ultimo </w:t>
      </w:r>
      <w:r w:rsidRPr="008017BE">
        <w:t>per la presentazione, da parte del personale</w:t>
      </w:r>
      <w:r>
        <w:t>,</w:t>
      </w:r>
      <w:r w:rsidRPr="008017BE">
        <w:t xml:space="preserve"> docente, educativo, amministrativo, tec</w:t>
      </w:r>
      <w:r>
        <w:t xml:space="preserve">nico e ausiliario della scuola, </w:t>
      </w:r>
      <w:r w:rsidRPr="008017BE">
        <w:t>delle domande di collocamento a riposo per compimento del</w:t>
      </w:r>
      <w:r>
        <w:t xml:space="preserve"> limite massimo di servizio,</w:t>
      </w:r>
      <w:r w:rsidRPr="008017BE">
        <w:t xml:space="preserve"> di dimissioni volontarie dal servizio, di trattenimento in servizio, oltre</w:t>
      </w:r>
      <w:r>
        <w:t xml:space="preserve"> </w:t>
      </w:r>
      <w:r w:rsidRPr="008017BE">
        <w:t xml:space="preserve">il raggiungimento del </w:t>
      </w:r>
      <w:r>
        <w:t xml:space="preserve">limite di età </w:t>
      </w:r>
      <w:r w:rsidRPr="008017BE">
        <w:t>a valere, per gli effetti, dal 1° settembre 20</w:t>
      </w:r>
      <w:r>
        <w:t>12</w:t>
      </w:r>
      <w:r w:rsidRPr="008017BE">
        <w:t xml:space="preserve">, nonché per la eventuale revoca di tali domande, è fissato al </w:t>
      </w:r>
      <w:r w:rsidRPr="00C02C6A">
        <w:rPr>
          <w:b/>
        </w:rPr>
        <w:t>30</w:t>
      </w:r>
      <w:r w:rsidRPr="00D31FBD">
        <w:rPr>
          <w:b/>
        </w:rPr>
        <w:t xml:space="preserve"> marzo</w:t>
      </w:r>
      <w:r>
        <w:t xml:space="preserve"> </w:t>
      </w:r>
      <w:r w:rsidRPr="00702439">
        <w:rPr>
          <w:b/>
          <w:bCs/>
        </w:rPr>
        <w:t>2012</w:t>
      </w:r>
      <w:r w:rsidRPr="008017BE">
        <w:t>.</w:t>
      </w:r>
    </w:p>
    <w:p w:rsidR="00501A68" w:rsidRDefault="00501A68" w:rsidP="00501A68">
      <w:pPr>
        <w:autoSpaceDE w:val="0"/>
        <w:autoSpaceDN w:val="0"/>
        <w:adjustRightInd w:val="0"/>
        <w:jc w:val="both"/>
      </w:pPr>
      <w:r w:rsidRPr="008017BE">
        <w:t>2 . Lo ste</w:t>
      </w:r>
      <w:r>
        <w:t xml:space="preserve">sso termine </w:t>
      </w:r>
      <w:r w:rsidRPr="008017BE">
        <w:t>si intende applicato anche nei</w:t>
      </w:r>
      <w:r>
        <w:t xml:space="preserve"> </w:t>
      </w:r>
      <w:r w:rsidRPr="008017BE">
        <w:t>confronti del personale che desideri cessare anticipatamente rispetto alla data</w:t>
      </w:r>
      <w:r>
        <w:t xml:space="preserve"> </w:t>
      </w:r>
      <w:r w:rsidRPr="008017BE">
        <w:t>finale indicata nel provvedimento di trattenimento in servizio e a quello che</w:t>
      </w:r>
      <w:r>
        <w:t xml:space="preserve">, non avendo raggiunto il limite di età o di servizio, </w:t>
      </w:r>
      <w:r w:rsidRPr="008017BE">
        <w:t>voglia chiedere la trasformazione del rapporto di lavoro a tempo parziale, con</w:t>
      </w:r>
      <w:r>
        <w:t xml:space="preserve"> </w:t>
      </w:r>
      <w:r w:rsidRPr="008017BE">
        <w:t>contestuale riconoscimento del trattamento di pensione, ai sensi del decreto 29</w:t>
      </w:r>
      <w:r>
        <w:t xml:space="preserve"> </w:t>
      </w:r>
      <w:r w:rsidRPr="008017BE">
        <w:t>luglio 1997, n. 331 del Ministro per la funzione pubblica.</w:t>
      </w:r>
    </w:p>
    <w:p w:rsidR="00501A68" w:rsidRPr="008017BE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Art.2</w:t>
      </w:r>
    </w:p>
    <w:p w:rsidR="00501A68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  <w:r w:rsidRPr="008017BE">
        <w:t>1.</w:t>
      </w:r>
      <w:r>
        <w:t xml:space="preserve"> </w:t>
      </w:r>
      <w:r w:rsidRPr="008017BE">
        <w:t>L’accertamento del diritto al trattamento pensionistico da parte degli Uffici</w:t>
      </w:r>
      <w:r>
        <w:t xml:space="preserve"> </w:t>
      </w:r>
      <w:r w:rsidRPr="008017BE">
        <w:t xml:space="preserve">competenti dovrà essere effettuato entro le scadenze </w:t>
      </w:r>
      <w:r>
        <w:t xml:space="preserve">previste </w:t>
      </w:r>
      <w:r w:rsidRPr="008017BE">
        <w:t>dalla circolare</w:t>
      </w:r>
      <w:r>
        <w:t xml:space="preserve"> di</w:t>
      </w:r>
      <w:r w:rsidRPr="008017BE">
        <w:t xml:space="preserve"> indicazioni operative che segue il presente decreto.</w:t>
      </w:r>
    </w:p>
    <w:p w:rsidR="00501A68" w:rsidRPr="008017BE" w:rsidRDefault="00501A68" w:rsidP="00501A68">
      <w:pPr>
        <w:autoSpaceDE w:val="0"/>
        <w:autoSpaceDN w:val="0"/>
        <w:adjustRightInd w:val="0"/>
        <w:jc w:val="both"/>
        <w:outlineLvl w:val="0"/>
      </w:pPr>
      <w:r w:rsidRPr="008017BE">
        <w:t>2.</w:t>
      </w:r>
      <w:r>
        <w:t xml:space="preserve"> Tali scadenze </w:t>
      </w:r>
      <w:r w:rsidRPr="008017BE">
        <w:t>terranno conto anche dei tempi necessari per la</w:t>
      </w:r>
      <w:r>
        <w:t xml:space="preserve"> </w:t>
      </w:r>
      <w:r w:rsidRPr="008017BE">
        <w:t xml:space="preserve">comunicazione dell’eventuale </w:t>
      </w:r>
      <w:r>
        <w:t>m</w:t>
      </w:r>
      <w:r w:rsidRPr="008017BE">
        <w:t>ancata maturazione del diritto a pensione al</w:t>
      </w:r>
      <w:r>
        <w:t xml:space="preserve"> </w:t>
      </w:r>
      <w:r w:rsidRPr="008017BE">
        <w:t>personale dimissionario</w:t>
      </w:r>
      <w:r>
        <w:t>.</w:t>
      </w:r>
      <w:r w:rsidRPr="008017BE">
        <w:t xml:space="preserve"> </w:t>
      </w:r>
    </w:p>
    <w:p w:rsidR="00501A68" w:rsidRDefault="00501A68" w:rsidP="00501A68">
      <w:pPr>
        <w:autoSpaceDE w:val="0"/>
        <w:autoSpaceDN w:val="0"/>
        <w:adjustRightInd w:val="0"/>
        <w:jc w:val="center"/>
      </w:pPr>
    </w:p>
    <w:p w:rsidR="00501A68" w:rsidRPr="008017BE" w:rsidRDefault="00501A68" w:rsidP="00501A68">
      <w:pPr>
        <w:autoSpaceDE w:val="0"/>
        <w:autoSpaceDN w:val="0"/>
        <w:adjustRightInd w:val="0"/>
        <w:jc w:val="center"/>
      </w:pPr>
      <w:r>
        <w:t>Art.3</w:t>
      </w:r>
    </w:p>
    <w:p w:rsidR="00501A68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  <w:r>
        <w:t>1. Per l</w:t>
      </w:r>
      <w:r w:rsidRPr="008017BE">
        <w:t>’accettazione delle domande di collocamento a riposo per compimento del</w:t>
      </w:r>
      <w:r>
        <w:t xml:space="preserve"> limite massimo</w:t>
      </w:r>
      <w:r w:rsidRPr="008017BE">
        <w:t xml:space="preserve"> di servizio, di dimissioni volontarie dal servizio, nonché di</w:t>
      </w:r>
      <w:r>
        <w:t xml:space="preserve"> </w:t>
      </w:r>
      <w:r w:rsidRPr="008017BE">
        <w:t xml:space="preserve">trattenimento in </w:t>
      </w:r>
      <w:r>
        <w:t xml:space="preserve">servizio non è necessaria l’emissione di un </w:t>
      </w:r>
      <w:r w:rsidRPr="008017BE">
        <w:t xml:space="preserve"> provvedimento formale.</w:t>
      </w:r>
      <w:r>
        <w:t xml:space="preserve"> Il rifiuto della domanda di trattenimento in servizio deve essere motivato per iscritto.</w:t>
      </w:r>
    </w:p>
    <w:p w:rsidR="00501A68" w:rsidRDefault="00501A68" w:rsidP="00501A68">
      <w:pPr>
        <w:autoSpaceDE w:val="0"/>
        <w:autoSpaceDN w:val="0"/>
        <w:adjustRightInd w:val="0"/>
        <w:jc w:val="both"/>
      </w:pPr>
      <w:r>
        <w:t>2. Entro 30 giorni dalla scadenza del termine del 2012, l’Amministrazione comunicherà l’eventuale rifiuto o ritardo nell’accoglimento della domanda di dimissioni ove sia in corso un procedimento disciplinare.</w:t>
      </w:r>
    </w:p>
    <w:p w:rsidR="00501A68" w:rsidRPr="00D80297" w:rsidRDefault="00501A68" w:rsidP="00501A68">
      <w:pPr>
        <w:tabs>
          <w:tab w:val="num" w:pos="720"/>
        </w:tabs>
        <w:autoSpaceDE w:val="0"/>
        <w:autoSpaceDN w:val="0"/>
        <w:adjustRightInd w:val="0"/>
        <w:jc w:val="both"/>
      </w:pPr>
      <w:r>
        <w:t xml:space="preserve">3. </w:t>
      </w:r>
      <w:r w:rsidRPr="008017BE">
        <w:t>Qualora l’accoglimento delle dimissioni volontarie dal servizio sia ritardato</w:t>
      </w:r>
      <w:r>
        <w:t xml:space="preserve"> </w:t>
      </w:r>
      <w:r w:rsidRPr="008017BE">
        <w:t>per la sussistenza di un procedimento disciplinare in corso, l’accettazione delle</w:t>
      </w:r>
      <w:r>
        <w:t xml:space="preserve"> </w:t>
      </w:r>
      <w:r w:rsidRPr="008017BE">
        <w:t>domande stesse è disposta con effetto dalla data di emissione del relativo</w:t>
      </w:r>
      <w:r>
        <w:t xml:space="preserve"> </w:t>
      </w:r>
      <w:r w:rsidRPr="008017BE">
        <w:t>provvedimento</w:t>
      </w:r>
      <w:r>
        <w:t>.</w:t>
      </w:r>
    </w:p>
    <w:p w:rsidR="00501A68" w:rsidRDefault="00501A68" w:rsidP="00501A68">
      <w:pPr>
        <w:autoSpaceDE w:val="0"/>
        <w:autoSpaceDN w:val="0"/>
        <w:adjustRightInd w:val="0"/>
      </w:pPr>
    </w:p>
    <w:p w:rsidR="00501A68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</w:p>
    <w:p w:rsidR="00501A68" w:rsidRDefault="00501A68" w:rsidP="00501A68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Art. 4</w:t>
      </w:r>
    </w:p>
    <w:p w:rsidR="00501A68" w:rsidRDefault="00501A68" w:rsidP="00501A68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</w:p>
    <w:p w:rsidR="00501A68" w:rsidRPr="008017BE" w:rsidRDefault="00501A68" w:rsidP="00501A68">
      <w:pPr>
        <w:autoSpaceDE w:val="0"/>
        <w:autoSpaceDN w:val="0"/>
        <w:adjustRightInd w:val="0"/>
        <w:jc w:val="both"/>
      </w:pPr>
      <w:r>
        <w:t xml:space="preserve">Rimangono fermi i criteri stabiliti dalla Direttiva del Ministro n. 94 del 4 dicembre 2009, per quanto riguarda  l’applicazione dell’art.. 72, comma 7 e comma 11 della L. 133/08, quest’ultimo come sostituito dall’art. 17, comma 35 </w:t>
      </w:r>
      <w:proofErr w:type="spellStart"/>
      <w:r>
        <w:t>novies</w:t>
      </w:r>
      <w:proofErr w:type="spellEnd"/>
      <w:r>
        <w:t>, del decreto legge 1° luglio 2009, n. 78, convertito, con modificazioni, dalla legge 3 agosto 2009, n.102;</w:t>
      </w:r>
    </w:p>
    <w:p w:rsidR="00501A68" w:rsidRDefault="00501A68" w:rsidP="00501A68">
      <w:pPr>
        <w:autoSpaceDE w:val="0"/>
        <w:autoSpaceDN w:val="0"/>
        <w:adjustRightInd w:val="0"/>
        <w:rPr>
          <w:sz w:val="27"/>
          <w:szCs w:val="27"/>
        </w:rPr>
      </w:pPr>
    </w:p>
    <w:p w:rsidR="00501A68" w:rsidRDefault="00501A68" w:rsidP="00501A68">
      <w:pPr>
        <w:autoSpaceDE w:val="0"/>
        <w:autoSpaceDN w:val="0"/>
        <w:adjustRightInd w:val="0"/>
        <w:rPr>
          <w:sz w:val="27"/>
          <w:szCs w:val="27"/>
        </w:rPr>
      </w:pPr>
    </w:p>
    <w:p w:rsidR="00501A68" w:rsidRDefault="00501A68" w:rsidP="00501A68">
      <w:pPr>
        <w:ind w:left="4320"/>
        <w:jc w:val="center"/>
        <w:outlineLvl w:val="0"/>
      </w:pPr>
      <w:r>
        <w:t>IL MINISTRO</w:t>
      </w:r>
    </w:p>
    <w:p w:rsidR="00501A68" w:rsidRPr="00F70D71" w:rsidRDefault="00501A68" w:rsidP="00501A68">
      <w:pPr>
        <w:ind w:left="4320"/>
        <w:jc w:val="center"/>
        <w:outlineLvl w:val="0"/>
        <w:rPr>
          <w:i/>
        </w:rPr>
      </w:pPr>
      <w:r w:rsidRPr="00F70D71">
        <w:rPr>
          <w:i/>
        </w:rPr>
        <w:t>Francesco Profumo</w:t>
      </w:r>
    </w:p>
    <w:p w:rsidR="00227D92" w:rsidRDefault="00227D92"/>
    <w:sectPr w:rsidR="00227D92" w:rsidSect="004F6BDF">
      <w:footerReference w:type="even" r:id="rId5"/>
      <w:footerReference w:type="default" r:id="rId6"/>
      <w:pgSz w:w="12240" w:h="15840"/>
      <w:pgMar w:top="899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43" w:rsidRDefault="00501A68" w:rsidP="00E63C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00743" w:rsidRDefault="00501A68" w:rsidP="00E63CD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743" w:rsidRDefault="00501A68" w:rsidP="00E63C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00743" w:rsidRDefault="00501A68" w:rsidP="00E63CD7">
    <w:pPr>
      <w:pStyle w:val="Pidipa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1A68"/>
    <w:rsid w:val="00227D92"/>
    <w:rsid w:val="0050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01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1A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01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A6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501A6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A6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2012-03-13T19:41:00Z</dcterms:created>
  <dcterms:modified xsi:type="dcterms:W3CDTF">2012-03-13T19:41:00Z</dcterms:modified>
</cp:coreProperties>
</file>