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"/>
        <w:gridCol w:w="10040"/>
      </w:tblGrid>
      <w:tr w:rsidR="00C50DF7" w:rsidRPr="00C50DF7" w:rsidTr="00C50DF7">
        <w:trPr>
          <w:trHeight w:val="1437"/>
          <w:jc w:val="center"/>
        </w:trPr>
        <w:tc>
          <w:tcPr>
            <w:tcW w:w="25" w:type="dxa"/>
            <w:tcBorders>
              <w:top w:val="nil"/>
              <w:left w:val="nil"/>
              <w:bottom w:val="nil"/>
            </w:tcBorders>
            <w:noWrap/>
            <w:vAlign w:val="bottom"/>
          </w:tcPr>
          <w:p w:rsidR="00C50DF7" w:rsidRPr="00C50DF7" w:rsidRDefault="00C50DF7" w:rsidP="00C50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80"/>
            </w:tblGrid>
            <w:tr w:rsidR="00C50DF7" w:rsidRPr="00C50DF7" w:rsidTr="009D2B4C">
              <w:trPr>
                <w:trHeight w:val="659"/>
                <w:tblCellSpacing w:w="0" w:type="dxa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C50DF7" w:rsidRPr="00C50DF7" w:rsidRDefault="00C50DF7" w:rsidP="00C50DF7">
                  <w:pPr>
                    <w:spacing w:after="0" w:line="240" w:lineRule="auto"/>
                    <w:jc w:val="center"/>
                    <w:rPr>
                      <w:rFonts w:ascii="Arial" w:eastAsia="Arial Unicode MS" w:hAnsi="Arial" w:cs="Arial"/>
                      <w:sz w:val="20"/>
                      <w:szCs w:val="20"/>
                      <w:lang w:eastAsia="it-IT"/>
                    </w:rPr>
                  </w:pPr>
                  <w:r w:rsidRPr="00C50DF7">
                    <w:rPr>
                      <w:rFonts w:ascii="Arial" w:eastAsia="Arial Unicode MS" w:hAnsi="Arial" w:cs="Arial"/>
                      <w:sz w:val="20"/>
                      <w:szCs w:val="20"/>
                      <w:lang w:eastAsia="it-IT"/>
                    </w:rPr>
                    <w:t xml:space="preserve"> </w:t>
                  </w:r>
                </w:p>
              </w:tc>
            </w:tr>
          </w:tbl>
          <w:p w:rsidR="00C50DF7" w:rsidRPr="00C50DF7" w:rsidRDefault="00C50DF7" w:rsidP="00C50DF7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0040" w:type="dxa"/>
            <w:vAlign w:val="center"/>
          </w:tcPr>
          <w:p w:rsidR="00C50DF7" w:rsidRPr="00C50DF7" w:rsidRDefault="00C50DF7" w:rsidP="00C50DF7">
            <w:pPr>
              <w:keepNext/>
              <w:tabs>
                <w:tab w:val="left" w:pos="4680"/>
              </w:tabs>
              <w:spacing w:after="0" w:line="240" w:lineRule="auto"/>
              <w:outlineLvl w:val="0"/>
              <w:rPr>
                <w:rFonts w:ascii="Century Gothic" w:eastAsia="Times New Roman" w:hAnsi="Century Gothic" w:cs="Arial"/>
                <w:b/>
                <w:bCs/>
                <w:color w:val="0000FF"/>
                <w:sz w:val="24"/>
                <w:szCs w:val="24"/>
                <w:lang w:eastAsia="it-IT"/>
              </w:rPr>
            </w:pPr>
            <w:r>
              <w:rPr>
                <w:rFonts w:ascii="Century Gothic" w:eastAsia="Times New Roman" w:hAnsi="Century Gothic" w:cs="Arial"/>
                <w:b/>
                <w:bCs/>
                <w:noProof/>
                <w:color w:val="0000FF"/>
                <w:sz w:val="24"/>
                <w:szCs w:val="24"/>
                <w:lang w:eastAsia="it-IT"/>
              </w:rPr>
              <w:drawing>
                <wp:anchor distT="0" distB="0" distL="114300" distR="114300" simplePos="0" relativeHeight="251659264" behindDoc="0" locked="0" layoutInCell="1" allowOverlap="1" wp14:anchorId="545DCF6D" wp14:editId="2DEB6BF4">
                  <wp:simplePos x="0" y="0"/>
                  <wp:positionH relativeFrom="column">
                    <wp:posOffset>2750185</wp:posOffset>
                  </wp:positionH>
                  <wp:positionV relativeFrom="paragraph">
                    <wp:posOffset>52705</wp:posOffset>
                  </wp:positionV>
                  <wp:extent cx="631825" cy="680085"/>
                  <wp:effectExtent l="0" t="0" r="0" b="5715"/>
                  <wp:wrapNone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1825" cy="6800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50DF7">
              <w:rPr>
                <w:rFonts w:ascii="Century Gothic" w:eastAsia="Times New Roman" w:hAnsi="Century Gothic" w:cs="Arial"/>
                <w:b/>
                <w:bCs/>
                <w:color w:val="0000FF"/>
                <w:sz w:val="24"/>
                <w:szCs w:val="24"/>
                <w:lang w:eastAsia="it-IT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</w:t>
            </w:r>
            <w:r w:rsidRPr="00C50DF7">
              <w:rPr>
                <w:rFonts w:ascii="Berlin Sans FB Demi" w:eastAsia="Times New Roman" w:hAnsi="Berlin Sans FB Demi" w:cs="Arial"/>
                <w:b/>
                <w:bCs/>
                <w:sz w:val="24"/>
                <w:szCs w:val="24"/>
                <w:lang w:eastAsia="it-IT"/>
              </w:rPr>
              <w:t xml:space="preserve">   </w:t>
            </w:r>
          </w:p>
          <w:p w:rsidR="00C50DF7" w:rsidRPr="00C50DF7" w:rsidRDefault="00C50DF7" w:rsidP="00C50DF7">
            <w:pPr>
              <w:keepNext/>
              <w:tabs>
                <w:tab w:val="left" w:pos="4680"/>
              </w:tabs>
              <w:spacing w:after="0" w:line="240" w:lineRule="auto"/>
              <w:outlineLvl w:val="0"/>
              <w:rPr>
                <w:rFonts w:ascii="Century Gothic" w:eastAsia="Times New Roman" w:hAnsi="Century Gothic" w:cs="Arial"/>
                <w:b/>
                <w:bCs/>
                <w:color w:val="0000FF"/>
                <w:sz w:val="24"/>
                <w:szCs w:val="24"/>
                <w:lang w:eastAsia="it-IT"/>
              </w:rPr>
            </w:pPr>
            <w:r w:rsidRPr="00C50DF7">
              <w:rPr>
                <w:rFonts w:ascii="Century Gothic" w:eastAsia="Times New Roman" w:hAnsi="Century Gothic" w:cs="Arial"/>
                <w:b/>
                <w:bCs/>
                <w:color w:val="0000FF"/>
                <w:sz w:val="24"/>
                <w:szCs w:val="24"/>
                <w:lang w:eastAsia="it-IT"/>
              </w:rPr>
              <w:t xml:space="preserve">                                                                  </w:t>
            </w:r>
          </w:p>
          <w:p w:rsidR="00C50DF7" w:rsidRDefault="00C50DF7" w:rsidP="00C50DF7">
            <w:pPr>
              <w:keepNext/>
              <w:tabs>
                <w:tab w:val="left" w:pos="4680"/>
              </w:tabs>
              <w:spacing w:after="0" w:line="240" w:lineRule="auto"/>
              <w:outlineLvl w:val="0"/>
              <w:rPr>
                <w:rFonts w:ascii="Berlin Sans FB Demi" w:eastAsia="Times New Roman" w:hAnsi="Berlin Sans FB Demi" w:cs="Arial"/>
                <w:b/>
                <w:bCs/>
                <w:sz w:val="28"/>
                <w:szCs w:val="28"/>
                <w:lang w:eastAsia="it-IT"/>
              </w:rPr>
            </w:pPr>
            <w:r w:rsidRPr="00C50DF7">
              <w:rPr>
                <w:rFonts w:ascii="Century Gothic" w:eastAsia="Times New Roman" w:hAnsi="Century Gothic" w:cs="Arial"/>
                <w:b/>
                <w:bCs/>
                <w:color w:val="0000FF"/>
                <w:sz w:val="24"/>
                <w:szCs w:val="24"/>
                <w:lang w:eastAsia="it-IT"/>
              </w:rPr>
              <w:t xml:space="preserve">                                                     </w:t>
            </w:r>
            <w:r w:rsidRPr="00C50DF7">
              <w:rPr>
                <w:rFonts w:ascii="Berlin Sans FB Demi" w:eastAsia="Times New Roman" w:hAnsi="Berlin Sans FB Demi" w:cs="Arial"/>
                <w:b/>
                <w:bCs/>
                <w:sz w:val="28"/>
                <w:szCs w:val="28"/>
                <w:lang w:eastAsia="it-IT"/>
              </w:rPr>
              <w:t xml:space="preserve">                                  </w:t>
            </w:r>
          </w:p>
          <w:p w:rsidR="00C50DF7" w:rsidRPr="00C50DF7" w:rsidRDefault="00C50DF7" w:rsidP="00C50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</w:pPr>
            <w:r w:rsidRPr="00C50DF7">
              <w:rPr>
                <w:rFonts w:ascii="Berlin Sans FB Demi" w:eastAsia="Times New Roman" w:hAnsi="Berlin Sans FB Demi" w:cs="Arial"/>
                <w:b/>
                <w:bCs/>
                <w:sz w:val="28"/>
                <w:szCs w:val="28"/>
                <w:lang w:eastAsia="it-IT"/>
              </w:rPr>
              <w:t xml:space="preserve"> </w:t>
            </w:r>
          </w:p>
          <w:p w:rsidR="00C50DF7" w:rsidRPr="00C50DF7" w:rsidRDefault="00C50DF7" w:rsidP="00C50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it-IT"/>
              </w:rPr>
            </w:pPr>
            <w:r w:rsidRPr="00C50DF7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it-IT"/>
              </w:rPr>
              <w:t>Ministero dell’Istruzione, Università e Ricerca</w:t>
            </w:r>
          </w:p>
          <w:p w:rsidR="00C50DF7" w:rsidRPr="00C50DF7" w:rsidRDefault="00C50DF7" w:rsidP="00C50DF7">
            <w:pPr>
              <w:keepNext/>
              <w:tabs>
                <w:tab w:val="left" w:pos="4680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it-IT"/>
              </w:rPr>
            </w:pPr>
            <w:r w:rsidRPr="00C50DF7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it-IT"/>
              </w:rPr>
              <w:t>Ufficio Scolastico Regionale</w:t>
            </w: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it-IT"/>
              </w:rPr>
              <w:t xml:space="preserve"> </w:t>
            </w:r>
            <w:r w:rsidRPr="00C50DF7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it-IT"/>
              </w:rPr>
              <w:t>per la Campania</w:t>
            </w:r>
          </w:p>
          <w:p w:rsidR="00C50DF7" w:rsidRPr="00C50DF7" w:rsidRDefault="00C50DF7" w:rsidP="00C50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50DF7">
              <w:rPr>
                <w:rFonts w:ascii="Times New Roman" w:eastAsia="Times New Roman" w:hAnsi="Times New Roman" w:cs="Times New Roman"/>
                <w:sz w:val="36"/>
                <w:szCs w:val="36"/>
                <w:lang w:eastAsia="it-IT"/>
              </w:rPr>
              <w:t>Direzione Generale</w:t>
            </w:r>
          </w:p>
        </w:tc>
      </w:tr>
    </w:tbl>
    <w:p w:rsidR="00110225" w:rsidRPr="00220A81" w:rsidRDefault="00110225" w:rsidP="001102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 w:rsidRPr="00220A81">
        <w:rPr>
          <w:rFonts w:ascii="Times New Roman" w:eastAsia="Times New Roman" w:hAnsi="Times New Roman" w:cs="Times New Roman"/>
          <w:sz w:val="26"/>
          <w:szCs w:val="26"/>
          <w:lang w:eastAsia="it-IT"/>
        </w:rPr>
        <w:t>Prot</w:t>
      </w:r>
      <w:r w:rsidR="000E104A">
        <w:rPr>
          <w:rFonts w:ascii="Times New Roman" w:eastAsia="Times New Roman" w:hAnsi="Times New Roman" w:cs="Times New Roman"/>
          <w:sz w:val="26"/>
          <w:szCs w:val="26"/>
          <w:lang w:eastAsia="it-IT"/>
        </w:rPr>
        <w:t>.</w:t>
      </w:r>
      <w:r w:rsidRPr="00220A81">
        <w:rPr>
          <w:rFonts w:ascii="Times New Roman" w:eastAsia="Times New Roman" w:hAnsi="Times New Roman" w:cs="Times New Roman"/>
          <w:sz w:val="26"/>
          <w:szCs w:val="26"/>
          <w:lang w:eastAsia="it-IT"/>
        </w:rPr>
        <w:t xml:space="preserve"> AOO</w:t>
      </w:r>
      <w:r w:rsidR="000E104A">
        <w:rPr>
          <w:rFonts w:ascii="Times New Roman" w:eastAsia="Times New Roman" w:hAnsi="Times New Roman" w:cs="Times New Roman"/>
          <w:sz w:val="26"/>
          <w:szCs w:val="26"/>
          <w:lang w:eastAsia="it-IT"/>
        </w:rPr>
        <w:t xml:space="preserve">DRCA N. 13492/U   </w:t>
      </w:r>
      <w:r w:rsidR="00E11C54" w:rsidRPr="00220A81">
        <w:rPr>
          <w:rFonts w:ascii="Times New Roman" w:eastAsia="Times New Roman" w:hAnsi="Times New Roman" w:cs="Times New Roman"/>
          <w:sz w:val="26"/>
          <w:szCs w:val="26"/>
          <w:lang w:eastAsia="it-IT"/>
        </w:rPr>
        <w:t xml:space="preserve">                                                         </w:t>
      </w:r>
      <w:r w:rsidR="00220A81">
        <w:rPr>
          <w:rFonts w:ascii="Times New Roman" w:eastAsia="Times New Roman" w:hAnsi="Times New Roman" w:cs="Times New Roman"/>
          <w:sz w:val="26"/>
          <w:szCs w:val="26"/>
          <w:lang w:eastAsia="it-IT"/>
        </w:rPr>
        <w:tab/>
      </w:r>
      <w:r w:rsidR="00E11C54" w:rsidRPr="00220A81">
        <w:rPr>
          <w:rFonts w:ascii="Times New Roman" w:eastAsia="Times New Roman" w:hAnsi="Times New Roman" w:cs="Times New Roman"/>
          <w:sz w:val="26"/>
          <w:szCs w:val="26"/>
          <w:lang w:eastAsia="it-IT"/>
        </w:rPr>
        <w:t xml:space="preserve">Napoli , </w:t>
      </w:r>
      <w:r w:rsidR="00554BEC" w:rsidRPr="00220A81">
        <w:rPr>
          <w:rFonts w:ascii="Times New Roman" w:eastAsia="Times New Roman" w:hAnsi="Times New Roman" w:cs="Times New Roman"/>
          <w:sz w:val="26"/>
          <w:szCs w:val="26"/>
          <w:lang w:eastAsia="it-IT"/>
        </w:rPr>
        <w:t>01</w:t>
      </w:r>
      <w:r w:rsidR="00E11C54" w:rsidRPr="00220A81">
        <w:rPr>
          <w:rFonts w:ascii="Times New Roman" w:eastAsia="Times New Roman" w:hAnsi="Times New Roman" w:cs="Times New Roman"/>
          <w:sz w:val="26"/>
          <w:szCs w:val="26"/>
          <w:lang w:eastAsia="it-IT"/>
        </w:rPr>
        <w:t>/1</w:t>
      </w:r>
      <w:r w:rsidR="00554BEC" w:rsidRPr="00220A81">
        <w:rPr>
          <w:rFonts w:ascii="Times New Roman" w:eastAsia="Times New Roman" w:hAnsi="Times New Roman" w:cs="Times New Roman"/>
          <w:sz w:val="26"/>
          <w:szCs w:val="26"/>
          <w:lang w:eastAsia="it-IT"/>
        </w:rPr>
        <w:t>2</w:t>
      </w:r>
      <w:r w:rsidR="00E11C54" w:rsidRPr="00220A81">
        <w:rPr>
          <w:rFonts w:ascii="Times New Roman" w:eastAsia="Times New Roman" w:hAnsi="Times New Roman" w:cs="Times New Roman"/>
          <w:sz w:val="26"/>
          <w:szCs w:val="26"/>
          <w:lang w:eastAsia="it-IT"/>
        </w:rPr>
        <w:t xml:space="preserve">/2015       </w:t>
      </w:r>
      <w:r w:rsidRPr="00220A81">
        <w:rPr>
          <w:rFonts w:ascii="Times New Roman" w:eastAsia="Times New Roman" w:hAnsi="Times New Roman" w:cs="Times New Roman"/>
          <w:sz w:val="26"/>
          <w:szCs w:val="26"/>
          <w:lang w:eastAsia="it-IT"/>
        </w:rPr>
        <w:br/>
      </w:r>
    </w:p>
    <w:p w:rsidR="00554BEC" w:rsidRDefault="00554BEC" w:rsidP="00554BEC">
      <w:pPr>
        <w:tabs>
          <w:tab w:val="left" w:pos="5954"/>
        </w:tabs>
        <w:spacing w:before="100" w:beforeAutospacing="1" w:after="100" w:afterAutospacing="1" w:line="240" w:lineRule="auto"/>
        <w:ind w:left="5954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it-IT"/>
        </w:rPr>
        <w:tab/>
      </w:r>
      <w:r w:rsidRPr="00E11C54">
        <w:rPr>
          <w:rFonts w:ascii="Times New Roman" w:eastAsia="Times New Roman" w:hAnsi="Times New Roman" w:cs="Times New Roman"/>
          <w:i/>
          <w:sz w:val="28"/>
          <w:szCs w:val="28"/>
          <w:lang w:eastAsia="it-IT"/>
        </w:rPr>
        <w:t>Ai Dirigenti scolastici de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it-IT"/>
        </w:rPr>
        <w:t>l</w:t>
      </w:r>
      <w:r w:rsidRPr="00E11C54">
        <w:rPr>
          <w:rFonts w:ascii="Times New Roman" w:eastAsia="Times New Roman" w:hAnsi="Times New Roman" w:cs="Times New Roman"/>
          <w:i/>
          <w:sz w:val="28"/>
          <w:szCs w:val="28"/>
          <w:lang w:eastAsia="it-IT"/>
        </w:rPr>
        <w:t>l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it-IT"/>
        </w:rPr>
        <w:t>a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it-IT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  <w:lang w:eastAsia="it-IT"/>
        </w:rPr>
        <w:tab/>
        <w:t xml:space="preserve">Campania </w:t>
      </w:r>
      <w:r w:rsidRPr="00E11C54">
        <w:rPr>
          <w:rFonts w:ascii="Times New Roman" w:eastAsia="Times New Roman" w:hAnsi="Times New Roman" w:cs="Times New Roman"/>
          <w:i/>
          <w:sz w:val="28"/>
          <w:szCs w:val="28"/>
          <w:lang w:eastAsia="it-IT"/>
        </w:rPr>
        <w:t xml:space="preserve"> </w:t>
      </w:r>
    </w:p>
    <w:p w:rsidR="00E11C54" w:rsidRPr="00E11C54" w:rsidRDefault="00554BEC" w:rsidP="00554BEC">
      <w:pPr>
        <w:tabs>
          <w:tab w:val="left" w:pos="5954"/>
        </w:tabs>
        <w:spacing w:before="100" w:beforeAutospacing="1" w:after="100" w:afterAutospacing="1" w:line="240" w:lineRule="auto"/>
        <w:ind w:left="5954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it-IT"/>
        </w:rPr>
      </w:pPr>
      <w:r w:rsidRPr="00E11C54">
        <w:rPr>
          <w:rFonts w:ascii="Times New Roman" w:eastAsia="Times New Roman" w:hAnsi="Times New Roman" w:cs="Times New Roman"/>
          <w:i/>
          <w:sz w:val="28"/>
          <w:szCs w:val="28"/>
          <w:lang w:eastAsia="it-IT"/>
        </w:rPr>
        <w:t xml:space="preserve">LORO SEDI </w:t>
      </w:r>
    </w:p>
    <w:p w:rsidR="00554BEC" w:rsidRDefault="00554BEC" w:rsidP="00554BEC">
      <w:pPr>
        <w:tabs>
          <w:tab w:val="left" w:pos="5954"/>
        </w:tabs>
        <w:spacing w:before="100" w:beforeAutospacing="1" w:after="100" w:afterAutospacing="1" w:line="240" w:lineRule="auto"/>
        <w:ind w:left="4248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it-IT"/>
        </w:rPr>
        <w:t>e.</w:t>
      </w:r>
      <w:r w:rsidR="00E11C54" w:rsidRPr="00E11C54">
        <w:rPr>
          <w:rFonts w:ascii="Times New Roman" w:eastAsia="Times New Roman" w:hAnsi="Times New Roman" w:cs="Times New Roman"/>
          <w:i/>
          <w:sz w:val="28"/>
          <w:szCs w:val="28"/>
          <w:lang w:eastAsia="it-IT"/>
        </w:rPr>
        <w:t xml:space="preserve">p.c. </w:t>
      </w:r>
      <w:r w:rsidRPr="00E11C54">
        <w:rPr>
          <w:rFonts w:ascii="Times New Roman" w:eastAsia="Times New Roman" w:hAnsi="Times New Roman" w:cs="Times New Roman"/>
          <w:i/>
          <w:sz w:val="28"/>
          <w:szCs w:val="28"/>
          <w:lang w:eastAsia="it-IT"/>
        </w:rPr>
        <w:t xml:space="preserve">Ai Dirigenti degli Ambiti  Territoriali Provinciali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it-IT"/>
        </w:rPr>
        <w:t xml:space="preserve">della Campania </w:t>
      </w:r>
      <w:r w:rsidRPr="00E11C54">
        <w:rPr>
          <w:rFonts w:ascii="Times New Roman" w:eastAsia="Times New Roman" w:hAnsi="Times New Roman" w:cs="Times New Roman"/>
          <w:i/>
          <w:sz w:val="28"/>
          <w:szCs w:val="28"/>
          <w:lang w:eastAsia="it-IT"/>
        </w:rPr>
        <w:t xml:space="preserve"> </w:t>
      </w:r>
    </w:p>
    <w:p w:rsidR="00554BEC" w:rsidRDefault="00554BEC" w:rsidP="00554BEC">
      <w:pPr>
        <w:tabs>
          <w:tab w:val="left" w:pos="5954"/>
        </w:tabs>
        <w:spacing w:before="100" w:beforeAutospacing="1" w:after="100" w:afterAutospacing="1" w:line="240" w:lineRule="auto"/>
        <w:ind w:left="4248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it-IT"/>
        </w:rPr>
      </w:pPr>
      <w:r w:rsidRPr="00E11C54">
        <w:rPr>
          <w:rFonts w:ascii="Times New Roman" w:eastAsia="Times New Roman" w:hAnsi="Times New Roman" w:cs="Times New Roman"/>
          <w:i/>
          <w:sz w:val="28"/>
          <w:szCs w:val="28"/>
          <w:lang w:eastAsia="it-IT"/>
        </w:rPr>
        <w:t>LORO SEDI</w:t>
      </w:r>
    </w:p>
    <w:p w:rsidR="00554BEC" w:rsidRDefault="00554BEC" w:rsidP="00554BEC">
      <w:pPr>
        <w:tabs>
          <w:tab w:val="left" w:pos="5954"/>
        </w:tabs>
        <w:spacing w:before="100" w:beforeAutospacing="1" w:after="100" w:afterAutospacing="1" w:line="240" w:lineRule="auto"/>
        <w:ind w:left="4248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it-IT"/>
        </w:rPr>
      </w:pPr>
      <w:r w:rsidRPr="00E11C54">
        <w:rPr>
          <w:rFonts w:ascii="Times New Roman" w:eastAsia="Times New Roman" w:hAnsi="Times New Roman" w:cs="Times New Roman"/>
          <w:i/>
          <w:sz w:val="28"/>
          <w:szCs w:val="28"/>
          <w:lang w:eastAsia="it-IT"/>
        </w:rPr>
        <w:t xml:space="preserve"> </w:t>
      </w:r>
      <w:r w:rsidR="00E11C54" w:rsidRPr="00E11C54">
        <w:rPr>
          <w:rFonts w:ascii="Times New Roman" w:eastAsia="Times New Roman" w:hAnsi="Times New Roman" w:cs="Times New Roman"/>
          <w:i/>
          <w:sz w:val="28"/>
          <w:szCs w:val="28"/>
          <w:lang w:eastAsia="it-IT"/>
        </w:rPr>
        <w:t>Alle OO.SS. del Comparto Scuola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it-IT"/>
        </w:rPr>
        <w:t xml:space="preserve"> </w:t>
      </w:r>
    </w:p>
    <w:p w:rsidR="00C50DF7" w:rsidRPr="00C50DF7" w:rsidRDefault="00E11C54" w:rsidP="00554BEC">
      <w:pPr>
        <w:tabs>
          <w:tab w:val="left" w:pos="5954"/>
        </w:tabs>
        <w:spacing w:before="100" w:beforeAutospacing="1" w:after="100" w:afterAutospacing="1" w:line="240" w:lineRule="auto"/>
        <w:ind w:left="4248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</w:pPr>
      <w:r w:rsidRPr="00E11C54">
        <w:rPr>
          <w:rFonts w:ascii="Times New Roman" w:eastAsia="Times New Roman" w:hAnsi="Times New Roman" w:cs="Times New Roman"/>
          <w:i/>
          <w:sz w:val="28"/>
          <w:szCs w:val="28"/>
          <w:lang w:eastAsia="it-IT"/>
        </w:rPr>
        <w:t>LORO SEDI</w:t>
      </w:r>
    </w:p>
    <w:p w:rsidR="00110225" w:rsidRPr="00554BEC" w:rsidRDefault="00110225" w:rsidP="00220A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 w:rsidRPr="00E11C54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Oggetto:</w:t>
      </w:r>
      <w:r w:rsidR="00554BEC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 xml:space="preserve"> Legge 107/15 </w:t>
      </w:r>
      <w:r w:rsidR="005A7580" w:rsidRPr="00E11C54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 xml:space="preserve"> </w:t>
      </w:r>
      <w:r w:rsidR="00554BEC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 xml:space="preserve">- piano </w:t>
      </w:r>
      <w:proofErr w:type="spellStart"/>
      <w:r w:rsidR="00554BEC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assunzionale</w:t>
      </w:r>
      <w:proofErr w:type="spellEnd"/>
      <w:r w:rsidR="00554BEC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 xml:space="preserve"> straordinario personale docente – fase C </w:t>
      </w:r>
      <w:r w:rsidR="00554BEC" w:rsidRPr="00554BEC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 xml:space="preserve">- </w:t>
      </w:r>
      <w:r w:rsidR="005A7580" w:rsidRPr="00554BEC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conferimento incarichi a tempo determinato su posti di potenziamento.</w:t>
      </w:r>
    </w:p>
    <w:p w:rsidR="005A7580" w:rsidRPr="00074DCD" w:rsidRDefault="005A7580" w:rsidP="00220A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074DCD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    </w:t>
      </w:r>
      <w:r w:rsidR="00110225" w:rsidRPr="00074DCD">
        <w:rPr>
          <w:rFonts w:ascii="Times New Roman" w:eastAsia="Times New Roman" w:hAnsi="Times New Roman" w:cs="Times New Roman"/>
          <w:sz w:val="28"/>
          <w:szCs w:val="28"/>
          <w:lang w:eastAsia="it-IT"/>
        </w:rPr>
        <w:t> </w:t>
      </w:r>
      <w:r w:rsidR="00E11C54" w:rsidRPr="00074DCD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     </w:t>
      </w:r>
      <w:r w:rsidR="00554BEC" w:rsidRPr="00074DCD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La Legge n. 107/2015 stabilisce, </w:t>
      </w:r>
      <w:r w:rsidRPr="00074DCD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ai sensi dell’art. 1 comma 95 </w:t>
      </w:r>
      <w:r w:rsidR="00554BEC" w:rsidRPr="00074DCD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che </w:t>
      </w:r>
      <w:r w:rsidR="00A24D43">
        <w:rPr>
          <w:rFonts w:ascii="Times New Roman" w:eastAsia="Times New Roman" w:hAnsi="Times New Roman" w:cs="Times New Roman"/>
          <w:sz w:val="28"/>
          <w:szCs w:val="28"/>
          <w:lang w:eastAsia="it-IT"/>
        </w:rPr>
        <w:t>“</w:t>
      </w:r>
      <w:r w:rsidR="00554BEC" w:rsidRPr="00074DCD">
        <w:rPr>
          <w:rFonts w:ascii="Times New Roman" w:eastAsia="Times New Roman" w:hAnsi="Times New Roman" w:cs="Times New Roman"/>
          <w:sz w:val="28"/>
          <w:szCs w:val="28"/>
          <w:lang w:eastAsia="it-IT"/>
        </w:rPr>
        <w:t>a</w:t>
      </w:r>
      <w:r w:rsidRPr="00074DCD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decorrere  dall'anno   scolastico 2015/2016, i posti per il potenziamento non possono essere coperti con personale  titolare di contratti di supplenza breve e saltuaria. Per il solo anno scolastico 2015/2016, detti posti non possono essere destinati alle supplenze di cui all'articolo 40, comma 9, della legge 27 dicembre 1997, n. 449, e non sono disponibili per le operazioni di mobilità, utilizzazi</w:t>
      </w:r>
      <w:r w:rsidR="00554BEC" w:rsidRPr="00074DCD">
        <w:rPr>
          <w:rFonts w:ascii="Times New Roman" w:eastAsia="Times New Roman" w:hAnsi="Times New Roman" w:cs="Times New Roman"/>
          <w:sz w:val="28"/>
          <w:szCs w:val="28"/>
          <w:lang w:eastAsia="it-IT"/>
        </w:rPr>
        <w:t>one  o assegnazione provvisoria</w:t>
      </w:r>
      <w:r w:rsidR="00A24D43">
        <w:rPr>
          <w:rFonts w:ascii="Times New Roman" w:eastAsia="Times New Roman" w:hAnsi="Times New Roman" w:cs="Times New Roman"/>
          <w:sz w:val="28"/>
          <w:szCs w:val="28"/>
          <w:lang w:eastAsia="it-IT"/>
        </w:rPr>
        <w:t>”</w:t>
      </w:r>
      <w:r w:rsidR="00554BEC" w:rsidRPr="00074DCD">
        <w:rPr>
          <w:rFonts w:ascii="Times New Roman" w:eastAsia="Times New Roman" w:hAnsi="Times New Roman" w:cs="Times New Roman"/>
          <w:sz w:val="28"/>
          <w:szCs w:val="28"/>
          <w:lang w:eastAsia="it-IT"/>
        </w:rPr>
        <w:t>.</w:t>
      </w:r>
    </w:p>
    <w:p w:rsidR="00554BEC" w:rsidRPr="00074DCD" w:rsidRDefault="00554BEC" w:rsidP="00220A8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074DCD">
        <w:rPr>
          <w:rFonts w:ascii="Times New Roman" w:eastAsia="Times New Roman" w:hAnsi="Times New Roman" w:cs="Times New Roman"/>
          <w:sz w:val="28"/>
          <w:szCs w:val="28"/>
          <w:lang w:eastAsia="it-IT"/>
        </w:rPr>
        <w:t>Alla luce di quanto previsto dalla succitata norma e ultimate le operazioni di immissioni in ruolo di fase C, si precisa quanto segue:</w:t>
      </w:r>
    </w:p>
    <w:p w:rsidR="00074DCD" w:rsidRDefault="00074DCD" w:rsidP="00220A8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074DCD">
        <w:rPr>
          <w:rFonts w:ascii="Times New Roman" w:eastAsia="Times New Roman" w:hAnsi="Times New Roman" w:cs="Times New Roman"/>
          <w:sz w:val="28"/>
          <w:szCs w:val="28"/>
          <w:lang w:eastAsia="it-IT"/>
        </w:rPr>
        <w:t>I</w:t>
      </w:r>
      <w:r w:rsidR="00554BEC" w:rsidRPr="00074DCD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n caso di esaurimento delle </w:t>
      </w:r>
      <w:proofErr w:type="spellStart"/>
      <w:r w:rsidR="00554BEC" w:rsidRPr="00074DCD">
        <w:rPr>
          <w:rFonts w:ascii="Times New Roman" w:eastAsia="Times New Roman" w:hAnsi="Times New Roman" w:cs="Times New Roman"/>
          <w:sz w:val="28"/>
          <w:szCs w:val="28"/>
          <w:lang w:eastAsia="it-IT"/>
        </w:rPr>
        <w:t>GaE</w:t>
      </w:r>
      <w:proofErr w:type="spellEnd"/>
      <w:r w:rsidR="009E283E">
        <w:rPr>
          <w:rFonts w:ascii="Times New Roman" w:eastAsia="Times New Roman" w:hAnsi="Times New Roman" w:cs="Times New Roman"/>
          <w:sz w:val="28"/>
          <w:szCs w:val="28"/>
          <w:lang w:eastAsia="it-IT"/>
        </w:rPr>
        <w:t>,</w:t>
      </w:r>
      <w:r w:rsidR="00554BEC" w:rsidRPr="00074DCD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le SS.LL. possono stipulare incarichi a tempo determinato con scadenza 30 giugno 2016 sui posti di potenziamento, </w:t>
      </w:r>
      <w:r w:rsidRPr="00074DCD">
        <w:rPr>
          <w:rFonts w:ascii="Times New Roman" w:eastAsia="Times New Roman" w:hAnsi="Times New Roman" w:cs="Times New Roman"/>
          <w:sz w:val="28"/>
          <w:szCs w:val="28"/>
          <w:lang w:eastAsia="it-IT"/>
        </w:rPr>
        <w:t>in tutti i casi in cui l’assegnazione della sede ai neo-immessi in ruolo è stato oggetto di differimento, attingendo dalle graduatorie d’istituto della medesima classe di concorso del potenziamento attribuito. Le SS.LL. non possono conferire supplenze brevi e saltuarie, né supplenze fino all’avente diritto, per il corrente anno scolastico.</w:t>
      </w:r>
    </w:p>
    <w:p w:rsidR="00074DCD" w:rsidRPr="00074DCD" w:rsidRDefault="00074DCD" w:rsidP="00220A8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lastRenderedPageBreak/>
        <w:t>In caso di contratti part-time, il restante monte ore è oggetto di incarichi al 30 giugno 2016.</w:t>
      </w:r>
    </w:p>
    <w:p w:rsidR="005A7580" w:rsidRPr="00E11C54" w:rsidRDefault="00E11C54" w:rsidP="00220A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       </w:t>
      </w:r>
      <w:r w:rsidR="005A7580" w:rsidRPr="00E11C54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Relativamente  ai  posti  di  potenziamento per  il  sostegno,  è  possibile procedere  alla  copertura  </w:t>
      </w:r>
      <w:r w:rsidR="00074DCD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dei  posti  rimasti  vacanti  </w:t>
      </w:r>
      <w:r w:rsidR="005A7580" w:rsidRPr="00E11C54">
        <w:rPr>
          <w:rFonts w:ascii="Times New Roman" w:eastAsia="Times New Roman" w:hAnsi="Times New Roman" w:cs="Times New Roman"/>
          <w:sz w:val="28"/>
          <w:szCs w:val="28"/>
          <w:lang w:eastAsia="it-IT"/>
        </w:rPr>
        <w:t>e disponibili</w:t>
      </w:r>
      <w:r w:rsidR="00EA5102" w:rsidRPr="00E11C54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, </w:t>
      </w:r>
      <w:r w:rsidR="005A7580" w:rsidRPr="00E11C54">
        <w:rPr>
          <w:rFonts w:ascii="Times New Roman" w:eastAsia="Times New Roman" w:hAnsi="Times New Roman" w:cs="Times New Roman"/>
          <w:sz w:val="28"/>
          <w:szCs w:val="28"/>
          <w:lang w:eastAsia="it-IT"/>
        </w:rPr>
        <w:t>solo  in  presenza di  docenti  in  possesso  del titolo di specializzazione. Pertanto, in mancanza di tali docenti  non si dovrà p</w:t>
      </w:r>
      <w:r w:rsidR="00074DCD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rocedere alla stipula di alcun </w:t>
      </w:r>
      <w:r w:rsidR="005A7580" w:rsidRPr="00E11C54">
        <w:rPr>
          <w:rFonts w:ascii="Times New Roman" w:eastAsia="Times New Roman" w:hAnsi="Times New Roman" w:cs="Times New Roman"/>
          <w:sz w:val="28"/>
          <w:szCs w:val="28"/>
          <w:lang w:eastAsia="it-IT"/>
        </w:rPr>
        <w:t>contratto a tempo determinato.</w:t>
      </w:r>
    </w:p>
    <w:p w:rsidR="005A7580" w:rsidRPr="00E11C54" w:rsidRDefault="00EA5102" w:rsidP="00220A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E11C54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       </w:t>
      </w:r>
      <w:r w:rsidR="005A7580" w:rsidRPr="00E11C54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L’istituzione scolastic</w:t>
      </w:r>
      <w:r w:rsidR="00074DCD">
        <w:rPr>
          <w:rFonts w:ascii="Times New Roman" w:eastAsia="Times New Roman" w:hAnsi="Times New Roman" w:cs="Times New Roman"/>
          <w:sz w:val="28"/>
          <w:szCs w:val="28"/>
          <w:lang w:eastAsia="it-IT"/>
        </w:rPr>
        <w:t>a appartenente</w:t>
      </w:r>
      <w:r w:rsidR="005A7580" w:rsidRPr="00E11C54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r w:rsidR="00074DCD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al I o II ciclo </w:t>
      </w:r>
      <w:r w:rsidR="00A24D43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al quale è stato </w:t>
      </w:r>
      <w:r w:rsidR="00074DCD">
        <w:rPr>
          <w:rFonts w:ascii="Times New Roman" w:eastAsia="Times New Roman" w:hAnsi="Times New Roman" w:cs="Times New Roman"/>
          <w:sz w:val="28"/>
          <w:szCs w:val="28"/>
          <w:lang w:eastAsia="it-IT"/>
        </w:rPr>
        <w:t>assegnato un docente di una classe di concorso  non presente nel curricolo della scuola si avvarrà della specifica graduatoria delle scuole vicini</w:t>
      </w:r>
      <w:r w:rsidR="00A24D43">
        <w:rPr>
          <w:rFonts w:ascii="Times New Roman" w:eastAsia="Times New Roman" w:hAnsi="Times New Roman" w:cs="Times New Roman"/>
          <w:sz w:val="28"/>
          <w:szCs w:val="28"/>
          <w:lang w:eastAsia="it-IT"/>
        </w:rPr>
        <w:t>ori</w:t>
      </w:r>
      <w:r w:rsidR="00074DCD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secondo quanto previsto dal regolamento sulle supplenze.</w:t>
      </w:r>
    </w:p>
    <w:p w:rsidR="005A7580" w:rsidRPr="00E11C54" w:rsidRDefault="00EA5102" w:rsidP="00220A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E11C54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    </w:t>
      </w:r>
      <w:r w:rsidR="00E11C54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r w:rsidRPr="00E11C54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 </w:t>
      </w:r>
      <w:r w:rsidR="00074DCD">
        <w:rPr>
          <w:rFonts w:ascii="Times New Roman" w:eastAsia="Times New Roman" w:hAnsi="Times New Roman" w:cs="Times New Roman"/>
          <w:sz w:val="28"/>
          <w:szCs w:val="28"/>
          <w:lang w:eastAsia="it-IT"/>
        </w:rPr>
        <w:t>I</w:t>
      </w:r>
      <w:r w:rsidR="005A7580" w:rsidRPr="00E11C54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  posti</w:t>
      </w:r>
      <w:r w:rsidRPr="00E11C54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 </w:t>
      </w:r>
      <w:r w:rsidR="00220A81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di potenziamento rimasti vacanti e disponibili </w:t>
      </w:r>
      <w:r w:rsidRPr="00E11C54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relativi alle </w:t>
      </w:r>
      <w:r w:rsidR="005A7580" w:rsidRPr="00E11C54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classi   di   concorso   </w:t>
      </w:r>
      <w:r w:rsidR="005A7580" w:rsidRPr="00E11C54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non   esaurite</w:t>
      </w:r>
      <w:r w:rsidR="005A7580" w:rsidRPr="00E11C54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 nel   corso   delle operazioni    di     conferimento    degli     incarichi    </w:t>
      </w:r>
      <w:r w:rsidR="00074DCD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a </w:t>
      </w:r>
      <w:r w:rsidR="005A7580" w:rsidRPr="00E11C54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tempo  determinato,  </w:t>
      </w:r>
      <w:r w:rsidR="00074DCD">
        <w:rPr>
          <w:rFonts w:ascii="Times New Roman" w:eastAsia="Times New Roman" w:hAnsi="Times New Roman" w:cs="Times New Roman"/>
          <w:sz w:val="28"/>
          <w:szCs w:val="28"/>
          <w:lang w:eastAsia="it-IT"/>
        </w:rPr>
        <w:t>dovranno  essere  comunicat</w:t>
      </w:r>
      <w:r w:rsidR="00220A81">
        <w:rPr>
          <w:rFonts w:ascii="Times New Roman" w:eastAsia="Times New Roman" w:hAnsi="Times New Roman" w:cs="Times New Roman"/>
          <w:sz w:val="28"/>
          <w:szCs w:val="28"/>
          <w:lang w:eastAsia="it-IT"/>
        </w:rPr>
        <w:t>i</w:t>
      </w:r>
      <w:r w:rsidR="005A7580" w:rsidRPr="00E11C54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 agli  ATP  per  la relativa copertura.</w:t>
      </w:r>
    </w:p>
    <w:p w:rsidR="00AF316E" w:rsidRPr="00E11C54" w:rsidRDefault="00E11C54" w:rsidP="005A75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E11C54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</w:p>
    <w:p w:rsidR="00C064BE" w:rsidRDefault="00E11C54" w:rsidP="00E11C54">
      <w:pPr>
        <w:ind w:left="-142"/>
      </w:pPr>
      <w:r>
        <w:rPr>
          <w:sz w:val="28"/>
          <w:szCs w:val="28"/>
        </w:rPr>
        <w:t xml:space="preserve">                                                                                              </w:t>
      </w:r>
      <w:r w:rsidR="000E104A">
        <w:rPr>
          <w:sz w:val="28"/>
          <w:szCs w:val="28"/>
        </w:rPr>
        <w:t xml:space="preserve">    </w:t>
      </w:r>
      <w:bookmarkStart w:id="0" w:name="_GoBack"/>
      <w:bookmarkEnd w:id="0"/>
      <w:r>
        <w:rPr>
          <w:sz w:val="28"/>
          <w:szCs w:val="28"/>
        </w:rPr>
        <w:t xml:space="preserve"> </w:t>
      </w:r>
      <w:r w:rsidRPr="00E11C54">
        <w:rPr>
          <w:sz w:val="28"/>
          <w:szCs w:val="28"/>
        </w:rPr>
        <w:t>IL DIRETTORE GENERALE</w:t>
      </w:r>
      <w:r w:rsidRPr="00E11C54">
        <w:rPr>
          <w:sz w:val="28"/>
          <w:szCs w:val="28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0E104A">
        <w:t>F/to</w:t>
      </w:r>
      <w:r>
        <w:t xml:space="preserve">          </w:t>
      </w:r>
      <w:r w:rsidRPr="00E11C54">
        <w:rPr>
          <w:sz w:val="28"/>
          <w:szCs w:val="28"/>
        </w:rPr>
        <w:t>Luisa Franzese</w:t>
      </w:r>
      <w:r>
        <w:tab/>
        <w:t xml:space="preserve"> </w:t>
      </w:r>
    </w:p>
    <w:sectPr w:rsidR="00C064B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B45CC6"/>
    <w:multiLevelType w:val="multilevel"/>
    <w:tmpl w:val="A02C6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225"/>
    <w:rsid w:val="00074DCD"/>
    <w:rsid w:val="000E104A"/>
    <w:rsid w:val="00110225"/>
    <w:rsid w:val="00220A81"/>
    <w:rsid w:val="00296951"/>
    <w:rsid w:val="00385A82"/>
    <w:rsid w:val="003C47B8"/>
    <w:rsid w:val="005255B5"/>
    <w:rsid w:val="00542657"/>
    <w:rsid w:val="00554BEC"/>
    <w:rsid w:val="005A7580"/>
    <w:rsid w:val="00666A61"/>
    <w:rsid w:val="00705633"/>
    <w:rsid w:val="009900FA"/>
    <w:rsid w:val="009E283E"/>
    <w:rsid w:val="00A24D43"/>
    <w:rsid w:val="00AF316E"/>
    <w:rsid w:val="00B9123B"/>
    <w:rsid w:val="00C064BE"/>
    <w:rsid w:val="00C201FB"/>
    <w:rsid w:val="00C50DF7"/>
    <w:rsid w:val="00E11C54"/>
    <w:rsid w:val="00EA5102"/>
    <w:rsid w:val="00FE1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89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16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15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778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59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311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431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cp:lastPrinted>2015-12-01T08:37:00Z</cp:lastPrinted>
  <dcterms:created xsi:type="dcterms:W3CDTF">2015-12-01T08:37:00Z</dcterms:created>
  <dcterms:modified xsi:type="dcterms:W3CDTF">2015-12-01T11:37:00Z</dcterms:modified>
</cp:coreProperties>
</file>